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56EBA390"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w:t>
      </w:r>
      <w:r w:rsidR="00225664">
        <w:t>2</w:t>
      </w:r>
      <w:r w:rsidRPr="001B1E04">
        <w:t xml:space="preserve"> </w:t>
      </w:r>
      <w:r w:rsidR="00FA380C">
        <w:t xml:space="preserve">Meeting </w:t>
      </w:r>
      <w:r w:rsidRPr="001B1E04">
        <w:t>#10</w:t>
      </w:r>
      <w:r w:rsidR="00225664">
        <w:t>6</w:t>
      </w:r>
      <w:r w:rsidRPr="00A01D0E">
        <w:tab/>
      </w:r>
      <w:r w:rsidR="004E0E7A">
        <w:t xml:space="preserve">   </w:t>
      </w:r>
      <w:r w:rsidR="00225664" w:rsidRPr="00225664">
        <w:rPr>
          <w:szCs w:val="24"/>
        </w:rPr>
        <w:t>R2-1907377</w:t>
      </w:r>
    </w:p>
    <w:p w14:paraId="3BC189AA" w14:textId="5E70AEE6" w:rsidR="00616831" w:rsidRDefault="00973C95" w:rsidP="00700F24">
      <w:pPr>
        <w:pStyle w:val="TdocHeader2"/>
        <w:pBdr>
          <w:bottom w:val="single" w:sz="6" w:space="1" w:color="auto"/>
        </w:pBdr>
        <w:spacing w:after="120"/>
        <w:rPr>
          <w:rFonts w:eastAsia="Malgun Gothic" w:cstheme="minorBidi"/>
          <w:sz w:val="24"/>
          <w:szCs w:val="22"/>
          <w:lang w:val="en-US" w:eastAsia="zh-CN"/>
        </w:rPr>
      </w:pPr>
      <w:r>
        <w:rPr>
          <w:rFonts w:eastAsia="Malgun Gothic" w:cstheme="minorBidi"/>
          <w:sz w:val="24"/>
          <w:szCs w:val="22"/>
          <w:lang w:val="en-US" w:eastAsia="zh-CN"/>
        </w:rPr>
        <w:t>Reno</w:t>
      </w:r>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USA,</w:t>
      </w:r>
      <w:r w:rsidR="00875E94" w:rsidRPr="00875E94">
        <w:rPr>
          <w:rFonts w:eastAsia="Malgun Gothic" w:cstheme="minorBidi"/>
          <w:sz w:val="24"/>
          <w:szCs w:val="22"/>
          <w:lang w:val="en-US" w:eastAsia="zh-CN"/>
        </w:rPr>
        <w:t xml:space="preserve"> </w:t>
      </w:r>
      <w:r w:rsidR="00D148E4">
        <w:rPr>
          <w:rFonts w:eastAsia="Malgun Gothic" w:cstheme="minorBidi"/>
          <w:sz w:val="24"/>
          <w:szCs w:val="22"/>
          <w:lang w:val="en-US" w:eastAsia="zh-CN"/>
        </w:rPr>
        <w:t>13</w:t>
      </w:r>
      <w:r w:rsidR="00D148E4" w:rsidRPr="00D148E4">
        <w:rPr>
          <w:rFonts w:eastAsia="Malgun Gothic" w:cstheme="minorBidi"/>
          <w:sz w:val="24"/>
          <w:szCs w:val="22"/>
          <w:vertAlign w:val="superscript"/>
          <w:lang w:val="en-US" w:eastAsia="zh-CN"/>
        </w:rPr>
        <w:t>th</w:t>
      </w:r>
      <w:r w:rsidR="00D148E4">
        <w:rPr>
          <w:rFonts w:eastAsia="Malgun Gothic" w:cstheme="minorBidi"/>
          <w:sz w:val="24"/>
          <w:szCs w:val="22"/>
          <w:lang w:val="en-US" w:eastAsia="zh-CN"/>
        </w:rPr>
        <w:t xml:space="preserve"> May</w:t>
      </w:r>
      <w:r w:rsidR="00975D57">
        <w:rPr>
          <w:rFonts w:eastAsia="Malgun Gothic" w:cstheme="minorBidi"/>
          <w:sz w:val="24"/>
          <w:szCs w:val="22"/>
          <w:lang w:val="en-US" w:eastAsia="zh-CN"/>
        </w:rPr>
        <w:t xml:space="preserve"> – </w:t>
      </w:r>
      <w:r w:rsidR="00875E94" w:rsidRPr="00875E94">
        <w:rPr>
          <w:rFonts w:eastAsia="Malgun Gothic" w:cstheme="minorBidi"/>
          <w:sz w:val="24"/>
          <w:szCs w:val="22"/>
          <w:lang w:val="en-US" w:eastAsia="zh-CN"/>
        </w:rPr>
        <w:t>1</w:t>
      </w:r>
      <w:r w:rsidR="00D148E4">
        <w:rPr>
          <w:rFonts w:eastAsia="Malgun Gothic" w:cstheme="minorBidi"/>
          <w:sz w:val="24"/>
          <w:szCs w:val="22"/>
          <w:lang w:val="en-US" w:eastAsia="zh-CN"/>
        </w:rPr>
        <w:t>7th</w:t>
      </w:r>
      <w:r w:rsidR="00875E94" w:rsidRPr="00875E94">
        <w:rPr>
          <w:rFonts w:eastAsia="Malgun Gothic" w:cstheme="minorBidi"/>
          <w:sz w:val="24"/>
          <w:szCs w:val="22"/>
          <w:lang w:val="en-US" w:eastAsia="zh-CN"/>
        </w:rPr>
        <w:t xml:space="preserve"> </w:t>
      </w:r>
      <w:r w:rsidR="00975D57">
        <w:rPr>
          <w:rFonts w:eastAsia="Malgun Gothic" w:cstheme="minorBidi"/>
          <w:sz w:val="24"/>
          <w:szCs w:val="22"/>
          <w:lang w:val="en-US" w:eastAsia="zh-CN"/>
        </w:rPr>
        <w:t>Ma</w:t>
      </w:r>
      <w:r w:rsidR="00D148E4">
        <w:rPr>
          <w:rFonts w:eastAsia="Malgun Gothic" w:cstheme="minorBidi"/>
          <w:sz w:val="24"/>
          <w:szCs w:val="22"/>
          <w:lang w:val="en-US" w:eastAsia="zh-CN"/>
        </w:rPr>
        <w:t>y</w:t>
      </w:r>
      <w:r w:rsidR="00975D57">
        <w:rPr>
          <w:rFonts w:eastAsia="Malgun Gothic" w:cstheme="minorBidi"/>
          <w:sz w:val="24"/>
          <w:szCs w:val="22"/>
          <w:lang w:val="en-US" w:eastAsia="zh-CN"/>
        </w:rPr>
        <w:t xml:space="preserve"> 2019</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5D19AA55" w14:textId="78A48F95" w:rsidR="00975D57" w:rsidRDefault="00D52BF3" w:rsidP="00700F24">
      <w:pPr>
        <w:pStyle w:val="TdocHeader2"/>
        <w:spacing w:after="120"/>
        <w:rPr>
          <w:sz w:val="24"/>
        </w:rPr>
      </w:pPr>
      <w:r w:rsidRPr="00B208AD">
        <w:rPr>
          <w:sz w:val="24"/>
        </w:rPr>
        <w:t>Title:</w:t>
      </w:r>
      <w:bookmarkStart w:id="2" w:name="Title"/>
      <w:bookmarkEnd w:id="2"/>
      <w:r w:rsidRPr="00B208AD">
        <w:rPr>
          <w:sz w:val="24"/>
        </w:rPr>
        <w:tab/>
      </w:r>
      <w:r w:rsidR="00B9061B" w:rsidRPr="00B9061B">
        <w:rPr>
          <w:sz w:val="24"/>
        </w:rPr>
        <w:t>Delivery of control plane signaling to IAB nodes in NSA deployment</w:t>
      </w:r>
    </w:p>
    <w:p w14:paraId="08AD6C06" w14:textId="2A660D9D" w:rsidR="00D52BF3" w:rsidRPr="00B208AD" w:rsidRDefault="00D52BF3" w:rsidP="00700F24">
      <w:pPr>
        <w:pStyle w:val="TdocHeader2"/>
        <w:spacing w:after="120"/>
        <w:rPr>
          <w:sz w:val="24"/>
        </w:rPr>
      </w:pPr>
      <w:r w:rsidRPr="00B208AD">
        <w:rPr>
          <w:sz w:val="24"/>
        </w:rPr>
        <w:t>Agenda Item:</w:t>
      </w:r>
      <w:r w:rsidRPr="00B208AD">
        <w:rPr>
          <w:sz w:val="24"/>
        </w:rPr>
        <w:tab/>
      </w:r>
      <w:r w:rsidR="00975D57">
        <w:rPr>
          <w:bCs/>
          <w:iCs/>
          <w:sz w:val="24"/>
        </w:rPr>
        <w:t>1</w:t>
      </w:r>
      <w:r w:rsidR="00225664">
        <w:rPr>
          <w:bCs/>
          <w:iCs/>
          <w:sz w:val="24"/>
        </w:rPr>
        <w:t>1.1.5</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6E569BD" w:rsidR="00AA7B2F" w:rsidRDefault="00317DDA" w:rsidP="00B71D00">
      <w:pPr>
        <w:jc w:val="both"/>
        <w:rPr>
          <w:lang w:val="en-GB"/>
        </w:rPr>
      </w:pPr>
      <w:r>
        <w:rPr>
          <w:lang w:val="en-GB"/>
        </w:rPr>
        <w:t xml:space="preserve">As part of the </w:t>
      </w:r>
      <w:r w:rsidR="006E3655">
        <w:rPr>
          <w:lang w:val="en-GB"/>
        </w:rPr>
        <w:t xml:space="preserve">Work </w:t>
      </w:r>
      <w:r>
        <w:rPr>
          <w:lang w:val="en-GB"/>
        </w:rPr>
        <w:t xml:space="preserve">Item on Integrated Access and Backhaul for NR [1], </w:t>
      </w:r>
      <w:r w:rsidR="006E3655">
        <w:rPr>
          <w:lang w:val="en-GB"/>
        </w:rPr>
        <w:t xml:space="preserve">the following objectives have been </w:t>
      </w:r>
      <w:r w:rsidR="00C53D8F">
        <w:rPr>
          <w:lang w:val="en-GB"/>
        </w:rPr>
        <w:t>captured:</w:t>
      </w:r>
    </w:p>
    <w:p w14:paraId="1A1635B4" w14:textId="77777777" w:rsidR="00C53D8F" w:rsidRDefault="00C53D8F" w:rsidP="00C53D8F">
      <w:pPr>
        <w:pStyle w:val="maintext"/>
        <w:numPr>
          <w:ilvl w:val="0"/>
          <w:numId w:val="6"/>
        </w:numPr>
        <w:spacing w:line="240" w:lineRule="auto"/>
        <w:ind w:firstLineChars="0"/>
        <w:jc w:val="left"/>
        <w:rPr>
          <w:rFonts w:eastAsia="Times New Roman" w:cs="Times New Roman"/>
          <w:lang w:eastAsia="en-US"/>
        </w:rPr>
      </w:pPr>
      <w:r>
        <w:rPr>
          <w:rFonts w:eastAsia="Times New Roman" w:cs="Times New Roman"/>
          <w:lang w:eastAsia="en-US"/>
        </w:rPr>
        <w:t>Specification of procedures for IAB-node integration and topology adaptation, including [RAN3-led, RAN2]:</w:t>
      </w:r>
    </w:p>
    <w:p w14:paraId="6116FD26"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Pr>
          <w:rFonts w:eastAsia="Times New Roman" w:cs="Times New Roman"/>
          <w:lang w:eastAsia="en-US"/>
        </w:rPr>
        <w:t xml:space="preserve">Procedures for IAB-node integration for SA and NSA modes, including enhancements needed to E-UTRAN for NSA mode. </w:t>
      </w:r>
    </w:p>
    <w:p w14:paraId="49FA94F0"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Pr>
          <w:rFonts w:eastAsia="Times New Roman" w:cs="Times New Roman"/>
          <w:lang w:eastAsia="en-US"/>
        </w:rPr>
        <w:t>-d</w:t>
      </w:r>
      <w:r w:rsidRPr="00D83C0E">
        <w:rPr>
          <w:rFonts w:eastAsia="Times New Roman" w:cs="Times New Roman"/>
          <w:lang w:eastAsia="en-US"/>
        </w:rPr>
        <w:t xml:space="preserve">onor (with or without a change of </w:t>
      </w:r>
      <w:r>
        <w:rPr>
          <w:rFonts w:eastAsia="Times New Roman" w:cs="Times New Roman"/>
          <w:lang w:eastAsia="en-US"/>
        </w:rPr>
        <w:t>IAB-</w:t>
      </w:r>
      <w:r w:rsidRPr="00D83C0E">
        <w:rPr>
          <w:rFonts w:eastAsia="Times New Roman" w:cs="Times New Roman"/>
          <w:lang w:eastAsia="en-US"/>
        </w:rPr>
        <w:t>donor DU), and between different IAB</w:t>
      </w:r>
      <w:r>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Pr="00D83C0E">
        <w:rPr>
          <w:rFonts w:eastAsia="Times New Roman" w:cs="Times New Roman"/>
          <w:lang w:eastAsia="en-US"/>
        </w:rPr>
        <w:t>Migration of IAB</w:t>
      </w:r>
      <w:r>
        <w:rPr>
          <w:rFonts w:eastAsia="Times New Roman" w:cs="Times New Roman"/>
          <w:lang w:eastAsia="en-US"/>
        </w:rPr>
        <w:t>-</w:t>
      </w:r>
      <w:r w:rsidRPr="00D83C0E">
        <w:rPr>
          <w:rFonts w:eastAsia="Times New Roman" w:cs="Times New Roman"/>
          <w:lang w:eastAsia="en-US"/>
        </w:rPr>
        <w:t xml:space="preserve">node could be </w:t>
      </w:r>
      <w:bookmarkStart w:id="3" w:name="_GoBack"/>
      <w:bookmarkEnd w:id="3"/>
      <w:r w:rsidRPr="00D83C0E">
        <w:rPr>
          <w:rFonts w:eastAsia="Times New Roman" w:cs="Times New Roman"/>
          <w:lang w:eastAsia="en-US"/>
        </w:rPr>
        <w:t>network</w:t>
      </w:r>
      <w:r>
        <w:rPr>
          <w:rFonts w:eastAsia="Times New Roman" w:cs="Times New Roman"/>
          <w:lang w:eastAsia="en-US"/>
        </w:rPr>
        <w:t>-</w:t>
      </w:r>
      <w:r w:rsidRPr="00D83C0E">
        <w:rPr>
          <w:rFonts w:eastAsia="Times New Roman" w:cs="Times New Roman"/>
          <w:lang w:eastAsia="en-US"/>
        </w:rPr>
        <w:t>controlled or could be due to BH RLF.</w:t>
      </w:r>
      <w:r w:rsidDel="00D83C0E">
        <w:rPr>
          <w:rFonts w:eastAsia="Times New Roman" w:cs="Times New Roman"/>
          <w:lang w:eastAsia="en-US"/>
        </w:rPr>
        <w:t xml:space="preserve"> </w:t>
      </w:r>
    </w:p>
    <w:p w14:paraId="2D3097E0" w14:textId="77777777" w:rsidR="00C53D8F" w:rsidRPr="006800BA" w:rsidRDefault="00C53D8F" w:rsidP="00C53D8F">
      <w:pPr>
        <w:pStyle w:val="maintext"/>
        <w:spacing w:line="240" w:lineRule="auto"/>
        <w:ind w:left="1440" w:firstLineChars="0" w:firstLine="0"/>
        <w:jc w:val="left"/>
        <w:rPr>
          <w:rFonts w:eastAsia="Times New Roman" w:cs="Times New Roman"/>
          <w:lang w:eastAsia="en-US"/>
        </w:rPr>
      </w:pPr>
      <w:r w:rsidRPr="001110E6">
        <w:rPr>
          <w:rFonts w:eastAsia="Times New Roman" w:cs="Times New Roman"/>
          <w:lang w:eastAsia="en-US"/>
        </w:rPr>
        <w:t xml:space="preserve">Support for route redundancy and </w:t>
      </w:r>
      <w:r w:rsidRPr="009F1F24">
        <w:rPr>
          <w:rFonts w:eastAsia="Times New Roman" w:cs="Times New Roman"/>
          <w:lang w:eastAsia="en-US"/>
        </w:rPr>
        <w:t>route selection</w:t>
      </w:r>
      <w:r w:rsidRPr="001110E6">
        <w:rPr>
          <w:rFonts w:eastAsia="Times New Roman" w:cs="Times New Roman"/>
          <w:lang w:eastAsia="en-US"/>
        </w:rPr>
        <w:t xml:space="preserve"> based on multi-connectivity </w:t>
      </w:r>
      <w:r w:rsidRPr="009F51D5">
        <w:rPr>
          <w:rFonts w:cs="Times New Roman"/>
        </w:rPr>
        <w:t>(e.g. TR 38.874 clause 9.7)</w:t>
      </w:r>
      <w:r w:rsidRPr="0027621B">
        <w:rPr>
          <w:rFonts w:cs="Times New Roman"/>
          <w:color w:val="000000"/>
        </w:rPr>
        <w:t>,</w:t>
      </w:r>
      <w:r w:rsidRPr="001110E6">
        <w:rPr>
          <w:rFonts w:eastAsia="Times New Roman" w:cs="Times New Roman"/>
          <w:lang w:eastAsia="en-US"/>
        </w:rPr>
        <w:t xml:space="preserve"> leveraging existing NR solutions as well as NR-NR DC</w:t>
      </w:r>
      <w:r w:rsidRPr="001110E6">
        <w:rPr>
          <w:rFonts w:eastAsia="Times New Roman"/>
        </w:rPr>
        <w:t>, without</w:t>
      </w:r>
      <w:r>
        <w:rPr>
          <w:rFonts w:eastAsia="Times New Roman"/>
        </w:rPr>
        <w:t xml:space="preserve"> </w:t>
      </w:r>
      <w:r w:rsidRPr="001110E6">
        <w:rPr>
          <w:rFonts w:eastAsia="Times New Roman" w:cs="Times New Roman"/>
          <w:lang w:eastAsia="en-US"/>
        </w:rPr>
        <w:t>additiona</w:t>
      </w:r>
      <w:r w:rsidRPr="001110E6">
        <w:rPr>
          <w:rFonts w:eastAsia="Times New Roman"/>
        </w:rPr>
        <w:t>l RAN1 work</w:t>
      </w:r>
      <w:r w:rsidRPr="001110E6">
        <w:rPr>
          <w:rFonts w:eastAsia="Times New Roman" w:cs="Times New Roman"/>
          <w:lang w:eastAsia="en-US"/>
        </w:rPr>
        <w:t>. (</w:t>
      </w:r>
      <w:r w:rsidRPr="001110E6">
        <w:rPr>
          <w:rFonts w:eastAsiaTheme="minorEastAsia" w:cs="Times New Roman" w:hint="eastAsia"/>
        </w:rPr>
        <w:t>see NOTE1</w:t>
      </w:r>
      <w:r w:rsidRPr="001110E6">
        <w:rPr>
          <w:rFonts w:eastAsia="Times New Roman" w:cs="Times New Roman"/>
          <w:lang w:eastAsia="en-US"/>
        </w:rPr>
        <w:t>)</w:t>
      </w:r>
      <w:r>
        <w:rPr>
          <w:rFonts w:eastAsia="Times New Roman" w:cs="Times New Roman"/>
          <w:lang w:eastAsia="en-US"/>
        </w:rPr>
        <w:t>.</w:t>
      </w:r>
    </w:p>
    <w:p w14:paraId="686FE11D" w14:textId="77777777" w:rsidR="00F14D2B" w:rsidRDefault="00F14D2B" w:rsidP="00B71D00">
      <w:pPr>
        <w:spacing w:after="0"/>
        <w:ind w:left="720"/>
        <w:jc w:val="both"/>
        <w:rPr>
          <w:bCs/>
        </w:rPr>
      </w:pPr>
    </w:p>
    <w:p w14:paraId="0A7BAB2E" w14:textId="52A68471" w:rsidR="00B71D00" w:rsidRDefault="00B71D00" w:rsidP="00B71D00">
      <w:pPr>
        <w:spacing w:after="0"/>
        <w:jc w:val="both"/>
        <w:rPr>
          <w:lang w:val="en-GB"/>
        </w:rPr>
      </w:pPr>
      <w:r>
        <w:rPr>
          <w:lang w:val="en-GB"/>
        </w:rPr>
        <w:t>Initial NR network deployments based on Phase 1 Release 15 3GPP specifications will be based on non-standalone (NSA) scenario (Option 3x), using existing EPC deployments for the core network. Additionally, some other NR network deployments based on the full Release 15 3GPP specifications may be based on standalone (SA) scenario (Option 2). 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r w:rsidR="00C53D8F">
        <w:rPr>
          <w:lang w:val="en-GB"/>
        </w:rPr>
        <w:t xml:space="preserve"> </w:t>
      </w:r>
    </w:p>
    <w:p w14:paraId="5933C26F" w14:textId="31B6FEEE" w:rsidR="00C53D8F" w:rsidRDefault="00C53D8F" w:rsidP="00B71D00">
      <w:pPr>
        <w:spacing w:after="0"/>
        <w:jc w:val="both"/>
        <w:rPr>
          <w:lang w:val="en-GB"/>
        </w:rPr>
      </w:pPr>
    </w:p>
    <w:p w14:paraId="545ECBCC" w14:textId="264F1535" w:rsidR="00C53D8F" w:rsidRDefault="00C53D8F" w:rsidP="00B71D00">
      <w:pPr>
        <w:spacing w:after="0"/>
        <w:jc w:val="both"/>
        <w:rPr>
          <w:lang w:val="en-GB"/>
        </w:rPr>
      </w:pPr>
      <w:r>
        <w:rPr>
          <w:lang w:val="en-GB"/>
        </w:rPr>
        <w:t>However it is important that the differences between NSA and SA IAB deployments are minimized, especially in terms of specification impact required for LTE RAN and core network nodes.</w:t>
      </w:r>
    </w:p>
    <w:p w14:paraId="1FCEFBAF" w14:textId="77777777" w:rsidR="004364CC" w:rsidRDefault="004364CC" w:rsidP="00B71D00">
      <w:pPr>
        <w:spacing w:after="0"/>
        <w:jc w:val="both"/>
        <w:rPr>
          <w:lang w:val="en-GB"/>
        </w:rPr>
      </w:pPr>
    </w:p>
    <w:p w14:paraId="7AEF2C38" w14:textId="3C146D66" w:rsidR="006F1AB8" w:rsidRDefault="00896663" w:rsidP="00B71D00">
      <w:pPr>
        <w:jc w:val="both"/>
        <w:rPr>
          <w:lang w:val="en-GB"/>
        </w:rPr>
      </w:pPr>
      <w:r>
        <w:rPr>
          <w:lang w:val="en-GB"/>
        </w:rPr>
        <w:t xml:space="preserve">This contribution discusses </w:t>
      </w:r>
      <w:r w:rsidR="000B7364">
        <w:rPr>
          <w:lang w:val="en-GB"/>
        </w:rPr>
        <w:t xml:space="preserve">the </w:t>
      </w:r>
      <w:r w:rsidR="00235DBF">
        <w:rPr>
          <w:lang w:val="en-GB"/>
        </w:rPr>
        <w:t xml:space="preserve">delivery of control plane signalling for </w:t>
      </w:r>
      <w:r w:rsidR="00A46FFC">
        <w:rPr>
          <w:lang w:val="en-GB"/>
        </w:rPr>
        <w:t xml:space="preserve">IAB </w:t>
      </w:r>
      <w:r w:rsidR="000B7364">
        <w:rPr>
          <w:lang w:val="en-GB"/>
        </w:rPr>
        <w:t xml:space="preserve">nodes when operating in </w:t>
      </w:r>
      <w:r w:rsidR="00A46FFC">
        <w:rPr>
          <w:lang w:val="en-GB"/>
        </w:rPr>
        <w:t>non-standalone (NSA)</w:t>
      </w:r>
      <w:r w:rsidR="000B7364">
        <w:rPr>
          <w:lang w:val="en-GB"/>
        </w:rPr>
        <w:t xml:space="preserve"> mode</w:t>
      </w:r>
      <w:r w:rsidR="00FC2F10">
        <w:rPr>
          <w:lang w:val="en-GB"/>
        </w:rPr>
        <w:t>.</w:t>
      </w:r>
    </w:p>
    <w:p w14:paraId="3910AB39" w14:textId="4E42998B" w:rsidR="006F1AB8" w:rsidRDefault="00DD051F" w:rsidP="00C26A7D">
      <w:pPr>
        <w:pStyle w:val="Heading1"/>
      </w:pPr>
      <w:r>
        <w:t>NSA based IAB deployments</w:t>
      </w:r>
    </w:p>
    <w:p w14:paraId="00169417" w14:textId="26CC23C0" w:rsidR="00B71D00" w:rsidRDefault="008E0B51" w:rsidP="008E0B51">
      <w:pPr>
        <w:jc w:val="both"/>
        <w:rPr>
          <w:szCs w:val="22"/>
        </w:rPr>
      </w:pPr>
      <w:r>
        <w:rPr>
          <w:szCs w:val="22"/>
        </w:rPr>
        <w:t xml:space="preserve">The IAB deployment </w:t>
      </w:r>
      <w:r w:rsidR="00374551">
        <w:rPr>
          <w:szCs w:val="22"/>
        </w:rPr>
        <w:t xml:space="preserve">under a NSA architecture as shown in Figure </w:t>
      </w:r>
      <w:r w:rsidR="00C53D8F">
        <w:rPr>
          <w:szCs w:val="22"/>
        </w:rPr>
        <w:t>1</w:t>
      </w:r>
      <w:r w:rsidR="00695014">
        <w:rPr>
          <w:szCs w:val="22"/>
        </w:rPr>
        <w:t>, where the control plane</w:t>
      </w:r>
      <w:r w:rsidR="00374551">
        <w:rPr>
          <w:szCs w:val="22"/>
        </w:rPr>
        <w:t xml:space="preserve"> </w:t>
      </w:r>
      <w:r w:rsidR="007F188C">
        <w:rPr>
          <w:szCs w:val="22"/>
        </w:rPr>
        <w:t>s</w:t>
      </w:r>
      <w:r w:rsidR="0078745F">
        <w:rPr>
          <w:szCs w:val="22"/>
        </w:rPr>
        <w:t>ignaling</w:t>
      </w:r>
      <w:r w:rsidR="00695014">
        <w:rPr>
          <w:szCs w:val="22"/>
        </w:rPr>
        <w:t xml:space="preserve"> for both access U</w:t>
      </w:r>
      <w:r w:rsidR="007F188C">
        <w:rPr>
          <w:szCs w:val="22"/>
        </w:rPr>
        <w:t>E</w:t>
      </w:r>
      <w:r w:rsidR="00695014">
        <w:rPr>
          <w:szCs w:val="22"/>
        </w:rPr>
        <w:t>s and IAB</w:t>
      </w:r>
      <w:r w:rsidR="00374551">
        <w:rPr>
          <w:szCs w:val="22"/>
        </w:rPr>
        <w:t xml:space="preserve"> </w:t>
      </w:r>
      <w:r w:rsidR="007A7E45">
        <w:rPr>
          <w:szCs w:val="22"/>
        </w:rPr>
        <w:t>node</w:t>
      </w:r>
      <w:r w:rsidR="000B7364">
        <w:rPr>
          <w:szCs w:val="22"/>
        </w:rPr>
        <w:t xml:space="preserve"> MT</w:t>
      </w:r>
      <w:r w:rsidR="007A7E45">
        <w:rPr>
          <w:szCs w:val="22"/>
        </w:rPr>
        <w:t xml:space="preserve">s </w:t>
      </w:r>
      <w:r w:rsidR="00374551">
        <w:rPr>
          <w:szCs w:val="22"/>
        </w:rPr>
        <w:t>are provided over LTE</w:t>
      </w:r>
      <w:r w:rsidR="00B71D00">
        <w:rPr>
          <w:szCs w:val="22"/>
        </w:rPr>
        <w:t>.</w:t>
      </w:r>
    </w:p>
    <w:p w14:paraId="7E5B43FD" w14:textId="66065A1A" w:rsidR="00B71D00" w:rsidRDefault="00B71D00" w:rsidP="00B71D00">
      <w:pPr>
        <w:jc w:val="center"/>
        <w:rPr>
          <w:szCs w:val="22"/>
        </w:rPr>
      </w:pPr>
    </w:p>
    <w:p w14:paraId="44BDC671" w14:textId="18317965" w:rsidR="00F95FE0" w:rsidRDefault="0070773D" w:rsidP="00B71D00">
      <w:pPr>
        <w:jc w:val="center"/>
        <w:rPr>
          <w:szCs w:val="22"/>
        </w:rPr>
      </w:pPr>
      <w:r>
        <w:rPr>
          <w:noProof/>
          <w:szCs w:val="22"/>
        </w:rPr>
        <w:lastRenderedPageBreak/>
        <w:drawing>
          <wp:inline distT="0" distB="0" distL="0" distR="0" wp14:anchorId="27A85170" wp14:editId="0AB3B949">
            <wp:extent cx="3489451" cy="46256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90362" cy="4626850"/>
                    </a:xfrm>
                    <a:prstGeom prst="rect">
                      <a:avLst/>
                    </a:prstGeom>
                    <a:noFill/>
                  </pic:spPr>
                </pic:pic>
              </a:graphicData>
            </a:graphic>
          </wp:inline>
        </w:drawing>
      </w:r>
    </w:p>
    <w:p w14:paraId="0E4C3F78" w14:textId="0D8693E7" w:rsidR="00B71D00" w:rsidRDefault="00B71D00" w:rsidP="00B71D00">
      <w:pPr>
        <w:jc w:val="center"/>
        <w:rPr>
          <w:b/>
          <w:szCs w:val="22"/>
        </w:rPr>
      </w:pPr>
      <w:r w:rsidRPr="00BD5910">
        <w:rPr>
          <w:b/>
          <w:szCs w:val="22"/>
        </w:rPr>
        <w:t xml:space="preserve">Figure </w:t>
      </w:r>
      <w:r w:rsidR="000B7364">
        <w:rPr>
          <w:b/>
          <w:szCs w:val="22"/>
        </w:rPr>
        <w:t>1</w:t>
      </w:r>
      <w:r w:rsidRPr="00BD5910">
        <w:rPr>
          <w:b/>
          <w:szCs w:val="22"/>
        </w:rPr>
        <w:t xml:space="preserve">: </w:t>
      </w:r>
      <w:r w:rsidR="008E0B51" w:rsidRPr="00BD5910">
        <w:rPr>
          <w:b/>
          <w:szCs w:val="22"/>
        </w:rPr>
        <w:t>IAB</w:t>
      </w:r>
      <w:r w:rsidRPr="00BD5910">
        <w:rPr>
          <w:b/>
          <w:szCs w:val="22"/>
        </w:rPr>
        <w:t xml:space="preserve"> </w:t>
      </w:r>
      <w:r w:rsidR="008E0B51" w:rsidRPr="00BD5910">
        <w:rPr>
          <w:b/>
          <w:szCs w:val="22"/>
        </w:rPr>
        <w:t>operation</w:t>
      </w:r>
      <w:r w:rsidRPr="00BD5910">
        <w:rPr>
          <w:b/>
          <w:szCs w:val="22"/>
        </w:rPr>
        <w:t xml:space="preserve"> </w:t>
      </w:r>
      <w:r w:rsidR="008E0B51" w:rsidRPr="00BD5910">
        <w:rPr>
          <w:b/>
          <w:szCs w:val="22"/>
        </w:rPr>
        <w:t>in a NSA deployment</w:t>
      </w:r>
    </w:p>
    <w:p w14:paraId="3533FE04" w14:textId="77777777" w:rsidR="00235DBF" w:rsidRDefault="00235DBF" w:rsidP="00D76B79">
      <w:pPr>
        <w:jc w:val="both"/>
        <w:rPr>
          <w:szCs w:val="22"/>
        </w:rPr>
      </w:pPr>
    </w:p>
    <w:p w14:paraId="4B16B352" w14:textId="26A4A37D" w:rsidR="00D76B79" w:rsidRPr="00D71D00" w:rsidRDefault="00235DBF" w:rsidP="00D76B79">
      <w:pPr>
        <w:jc w:val="both"/>
        <w:rPr>
          <w:szCs w:val="22"/>
        </w:rPr>
      </w:pPr>
      <w:r>
        <w:rPr>
          <w:szCs w:val="22"/>
        </w:rPr>
        <w:t>U</w:t>
      </w:r>
      <w:r w:rsidR="00D76B79" w:rsidRPr="00D71D00">
        <w:rPr>
          <w:szCs w:val="22"/>
        </w:rPr>
        <w:t>nder NSA operation, access UEs are connected to the network by performing initial access procedures (e.g. synchronization signal detection and random access procedure) via LTE and then are able to access one or more NR cells via dual connectivity procedures such as secondary node addition.</w:t>
      </w:r>
    </w:p>
    <w:p w14:paraId="33F91F03" w14:textId="0D68B2D6" w:rsidR="00BE0064" w:rsidRDefault="007A7E45" w:rsidP="00BE0064">
      <w:pPr>
        <w:jc w:val="both"/>
        <w:rPr>
          <w:szCs w:val="22"/>
        </w:rPr>
      </w:pPr>
      <w:r>
        <w:rPr>
          <w:szCs w:val="22"/>
        </w:rPr>
        <w:t>In the case of IAB</w:t>
      </w:r>
      <w:r w:rsidR="00BE0064" w:rsidRPr="00E535A6">
        <w:rPr>
          <w:szCs w:val="22"/>
        </w:rPr>
        <w:t xml:space="preserve"> </w:t>
      </w:r>
      <w:r w:rsidRPr="00E535A6">
        <w:rPr>
          <w:szCs w:val="22"/>
        </w:rPr>
        <w:t>operati</w:t>
      </w:r>
      <w:r>
        <w:rPr>
          <w:szCs w:val="22"/>
        </w:rPr>
        <w:t>on</w:t>
      </w:r>
      <w:r w:rsidRPr="00E535A6">
        <w:rPr>
          <w:szCs w:val="22"/>
        </w:rPr>
        <w:t xml:space="preserve"> </w:t>
      </w:r>
      <w:r w:rsidR="00BE0064" w:rsidRPr="00E535A6">
        <w:rPr>
          <w:szCs w:val="22"/>
        </w:rPr>
        <w:t xml:space="preserve">under an NSA architecture, initial access and mobility provided by the </w:t>
      </w:r>
      <w:r w:rsidR="00BE0064">
        <w:rPr>
          <w:szCs w:val="22"/>
        </w:rPr>
        <w:t>LTE MCG in case of EN-DC</w:t>
      </w:r>
      <w:r w:rsidR="00BE0064" w:rsidRPr="00E535A6">
        <w:rPr>
          <w:szCs w:val="22"/>
        </w:rPr>
        <w:t xml:space="preserve">, </w:t>
      </w:r>
      <w:r w:rsidR="00A8506A">
        <w:rPr>
          <w:szCs w:val="22"/>
        </w:rPr>
        <w:t>can be much more efficient than if a SA architecture is required for IAB nodes where</w:t>
      </w:r>
      <w:r w:rsidR="00A8506A" w:rsidRPr="00E535A6">
        <w:rPr>
          <w:szCs w:val="22"/>
        </w:rPr>
        <w:t xml:space="preserve"> system information broadcast, paging, and other IDLE mode transmissions </w:t>
      </w:r>
      <w:r w:rsidR="00A8506A">
        <w:rPr>
          <w:szCs w:val="22"/>
        </w:rPr>
        <w:t>are required</w:t>
      </w:r>
      <w:r w:rsidR="00A8506A" w:rsidRPr="00E535A6">
        <w:rPr>
          <w:szCs w:val="22"/>
        </w:rPr>
        <w:t>, thus reducing the overall overhead required to support multiplexing of access and backhaul traffic.</w:t>
      </w:r>
      <w:r w:rsidR="00A8506A">
        <w:rPr>
          <w:szCs w:val="22"/>
        </w:rPr>
        <w:t xml:space="preserve"> However</w:t>
      </w:r>
      <w:r>
        <w:rPr>
          <w:szCs w:val="22"/>
        </w:rPr>
        <w:t xml:space="preserve"> the IAB</w:t>
      </w:r>
      <w:r w:rsidR="00A8506A">
        <w:rPr>
          <w:szCs w:val="22"/>
        </w:rPr>
        <w:t xml:space="preserve"> node’s</w:t>
      </w:r>
      <w:r>
        <w:rPr>
          <w:szCs w:val="22"/>
        </w:rPr>
        <w:t xml:space="preserve"> </w:t>
      </w:r>
      <w:r w:rsidR="00A8506A">
        <w:rPr>
          <w:szCs w:val="22"/>
        </w:rPr>
        <w:t>MT</w:t>
      </w:r>
      <w:r>
        <w:rPr>
          <w:szCs w:val="22"/>
        </w:rPr>
        <w:t xml:space="preserve"> must also have LTE receiver functionality</w:t>
      </w:r>
      <w:r w:rsidR="00A8506A">
        <w:rPr>
          <w:szCs w:val="22"/>
        </w:rPr>
        <w:t xml:space="preserve">. </w:t>
      </w:r>
      <w:r w:rsidR="00BE0064">
        <w:rPr>
          <w:szCs w:val="22"/>
        </w:rPr>
        <w:t xml:space="preserve"> </w:t>
      </w:r>
      <w:r w:rsidR="008F1365">
        <w:rPr>
          <w:szCs w:val="22"/>
        </w:rPr>
        <w:t>The LTE MCG can also be used for providing future routing updates and assist in topology adaptation procedures (e.g. SN change).</w:t>
      </w:r>
    </w:p>
    <w:p w14:paraId="09CA73E7" w14:textId="15AC4690" w:rsidR="00A8506A" w:rsidRDefault="00F17442" w:rsidP="000B7364">
      <w:pPr>
        <w:rPr>
          <w:rFonts w:ascii="Calibri" w:hAnsi="Calibri"/>
          <w:szCs w:val="22"/>
        </w:rPr>
      </w:pPr>
      <w:r>
        <w:rPr>
          <w:rFonts w:ascii="Calibri" w:hAnsi="Calibri"/>
          <w:szCs w:val="22"/>
        </w:rPr>
        <w:t xml:space="preserve">Figure 2 shows </w:t>
      </w:r>
      <w:r w:rsidR="00A8506A">
        <w:rPr>
          <w:rFonts w:ascii="Calibri" w:hAnsi="Calibri"/>
          <w:szCs w:val="22"/>
        </w:rPr>
        <w:t xml:space="preserve">the </w:t>
      </w:r>
      <w:r>
        <w:rPr>
          <w:rFonts w:ascii="Calibri" w:hAnsi="Calibri"/>
          <w:szCs w:val="22"/>
        </w:rPr>
        <w:t>m</w:t>
      </w:r>
      <w:r w:rsidR="00A8506A">
        <w:rPr>
          <w:rFonts w:ascii="Calibri" w:hAnsi="Calibri"/>
          <w:szCs w:val="22"/>
        </w:rPr>
        <w:t>ulti-phase procedure for IAB-node integration</w:t>
      </w:r>
      <w:r>
        <w:rPr>
          <w:rFonts w:ascii="Calibri" w:hAnsi="Calibri"/>
          <w:szCs w:val="22"/>
        </w:rPr>
        <w:t xml:space="preserve"> captured in 38.874 Section 9.3. for SA operation</w:t>
      </w:r>
      <w:r w:rsidR="00ED021E">
        <w:rPr>
          <w:rFonts w:ascii="Calibri" w:hAnsi="Calibri"/>
          <w:szCs w:val="22"/>
        </w:rPr>
        <w:t xml:space="preserve"> [2]</w:t>
      </w:r>
      <w:r w:rsidR="00A8506A">
        <w:rPr>
          <w:rFonts w:ascii="Calibri" w:hAnsi="Calibri"/>
          <w:szCs w:val="22"/>
        </w:rPr>
        <w:t>:</w:t>
      </w:r>
    </w:p>
    <w:p w14:paraId="074BAE1E" w14:textId="3E6BCF7E" w:rsidR="00F17442" w:rsidRDefault="00ED021E" w:rsidP="00F17442">
      <w:pPr>
        <w:jc w:val="center"/>
      </w:pPr>
      <w:r w:rsidRPr="00355CD2">
        <w:object w:dxaOrig="15376" w:dyaOrig="12945" w14:anchorId="0236B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266.25pt" o:ole="">
            <v:imagedata r:id="rId9" o:title=""/>
          </v:shape>
          <o:OLEObject Type="Embed" ProgID="Visio.Drawing.15" ShapeID="_x0000_i1025" DrawAspect="Content" ObjectID="_1618333697" r:id="rId10"/>
        </w:object>
      </w:r>
    </w:p>
    <w:p w14:paraId="7D637991" w14:textId="7E1060A4" w:rsidR="00F17442" w:rsidRPr="00C27187" w:rsidRDefault="00F17442" w:rsidP="00F17442">
      <w:pPr>
        <w:jc w:val="center"/>
        <w:rPr>
          <w:b/>
        </w:rPr>
      </w:pPr>
      <w:r>
        <w:rPr>
          <w:b/>
        </w:rPr>
        <w:t>Figure 2</w:t>
      </w:r>
      <w:r w:rsidRPr="00C27187">
        <w:rPr>
          <w:b/>
        </w:rPr>
        <w:t>. IAB node</w:t>
      </w:r>
      <w:r>
        <w:rPr>
          <w:b/>
        </w:rPr>
        <w:t>’s Integration Procedure (Section 9.3 of 38.874)</w:t>
      </w:r>
    </w:p>
    <w:p w14:paraId="141D9B4E" w14:textId="1EA61E40" w:rsidR="00C53D8F" w:rsidRDefault="00C53D8F" w:rsidP="00C53D8F">
      <w:r>
        <w:t>Also, as noted in 38.874, the NSA-based IAB-node integration has the following phases:</w:t>
      </w:r>
    </w:p>
    <w:p w14:paraId="4EDBBBE1" w14:textId="77777777" w:rsidR="00C53D8F" w:rsidRPr="00AD4EDB" w:rsidRDefault="00C53D8F" w:rsidP="00C53D8F">
      <w:pPr>
        <w:ind w:left="720"/>
        <w:rPr>
          <w:szCs w:val="22"/>
        </w:rPr>
      </w:pPr>
      <w:r w:rsidRPr="00AD4EDB">
        <w:rPr>
          <w:b/>
          <w:szCs w:val="22"/>
        </w:rPr>
        <w:t>Phase 1: IAB-node MT part setup.</w:t>
      </w:r>
      <w:r w:rsidRPr="00AD4EDB">
        <w:rPr>
          <w:szCs w:val="22"/>
        </w:rPr>
        <w:t xml:space="preserve"> In this phase, IAB-node MT part performs the connection setup procedure and authentication via LTE RRC signaling to the LTE network. The eNB then configures the IAB-node MT part with an NR measurement configuration in order to perform discovery, measurement, and measurement reporting of candidate parent IAB-nodes to the eNB. The IAB-node MT part then connects to the parent IAB-node’s DU and CU via the EN-DC SN addition procedure.</w:t>
      </w:r>
    </w:p>
    <w:p w14:paraId="5EC37796" w14:textId="77777777" w:rsidR="00C53D8F" w:rsidRPr="00AD4EDB" w:rsidRDefault="00C53D8F" w:rsidP="00C53D8F">
      <w:pPr>
        <w:ind w:left="720"/>
        <w:rPr>
          <w:szCs w:val="22"/>
        </w:rPr>
      </w:pPr>
      <w:r w:rsidRPr="00AD4EDB">
        <w:rPr>
          <w:b/>
          <w:szCs w:val="22"/>
        </w:rPr>
        <w:t xml:space="preserve">Phase 2-1: Routing update. </w:t>
      </w:r>
      <w:r w:rsidRPr="00AD4EDB">
        <w:rPr>
          <w:szCs w:val="22"/>
        </w:rPr>
        <w:t>In this phase, routing information is updated on the IAB-node’s parent and its ancestor nodes to establish an NR backhaul path between IAB-node and IAB-donor.</w:t>
      </w:r>
    </w:p>
    <w:p w14:paraId="0BCF8EF6" w14:textId="77777777" w:rsidR="00C53D8F" w:rsidRPr="00AD4EDB" w:rsidRDefault="00C53D8F" w:rsidP="00C53D8F">
      <w:pPr>
        <w:ind w:left="720"/>
      </w:pPr>
      <w:r w:rsidRPr="00AD4EDB">
        <w:rPr>
          <w:b/>
          <w:szCs w:val="22"/>
        </w:rPr>
        <w:t>Phase 2-2: IAB-node DU part setup.</w:t>
      </w:r>
      <w:r w:rsidRPr="00AD4EDB">
        <w:rPr>
          <w:szCs w:val="22"/>
        </w:rPr>
        <w:t xml:space="preserve"> </w:t>
      </w:r>
      <w:r w:rsidRPr="00AD4EDB">
        <w:t>The IAB-node’s DU performs F1-AP setup procedure</w:t>
      </w:r>
      <w:r w:rsidRPr="00AD4EDB">
        <w:rPr>
          <w:szCs w:val="22"/>
        </w:rPr>
        <w:t>. It can use the same transport over the NR backhaul as in SA mode. Alternatively, it may leverage SRBs over LTE and the X2 connection between eNB and CU for the transport of F1-AP as outlined in section 8.3.4. Both alternatives can be further studied, considering robustness and overhead of transmissions on the LTE or NR carrier(s)</w:t>
      </w:r>
      <w:r w:rsidRPr="00AD4EDB">
        <w:t>.</w:t>
      </w:r>
    </w:p>
    <w:p w14:paraId="34AC2233" w14:textId="77777777" w:rsidR="00C53D8F" w:rsidRPr="00AD4EDB" w:rsidRDefault="00C53D8F" w:rsidP="00C53D8F">
      <w:pPr>
        <w:spacing w:after="0"/>
        <w:ind w:left="720"/>
        <w:rPr>
          <w:sz w:val="24"/>
          <w:szCs w:val="24"/>
        </w:rPr>
      </w:pPr>
      <w:r w:rsidRPr="00AD4EDB">
        <w:rPr>
          <w:b/>
          <w:szCs w:val="22"/>
        </w:rPr>
        <w:t>Phase 3:</w:t>
      </w:r>
      <w:r w:rsidRPr="00AD4EDB">
        <w:rPr>
          <w:szCs w:val="22"/>
        </w:rPr>
        <w:t xml:space="preserve"> The IAB-node DU provides service to UEs or to other integrated IAB-nodes via NR and the IAB-node MT maintains connectivity with the LTE eNB and parent IAB-node.</w:t>
      </w:r>
    </w:p>
    <w:p w14:paraId="56CC3679" w14:textId="65E32EA0" w:rsidR="000E1C7E" w:rsidRDefault="000E1C7E" w:rsidP="00485C14">
      <w:pPr>
        <w:spacing w:after="0"/>
        <w:jc w:val="both"/>
        <w:rPr>
          <w:b/>
          <w:szCs w:val="22"/>
        </w:rPr>
      </w:pPr>
    </w:p>
    <w:p w14:paraId="0FFD6891" w14:textId="660244D8" w:rsidR="00AA7442" w:rsidRDefault="00842FF0" w:rsidP="004147AE">
      <w:pPr>
        <w:spacing w:after="0"/>
        <w:jc w:val="both"/>
        <w:rPr>
          <w:szCs w:val="22"/>
        </w:rPr>
      </w:pPr>
      <w:r>
        <w:rPr>
          <w:szCs w:val="22"/>
        </w:rPr>
        <w:t>To support MT/DU setup (Phase 1 and Phase 2)</w:t>
      </w:r>
      <w:r w:rsidR="004147AE">
        <w:rPr>
          <w:szCs w:val="22"/>
        </w:rPr>
        <w:t xml:space="preserve">, </w:t>
      </w:r>
      <w:r w:rsidR="00AE1282">
        <w:rPr>
          <w:szCs w:val="22"/>
        </w:rPr>
        <w:t xml:space="preserve">a straightforward mechanism is to have </w:t>
      </w:r>
      <w:r w:rsidR="004147AE">
        <w:rPr>
          <w:szCs w:val="22"/>
        </w:rPr>
        <w:t xml:space="preserve">the corresponding RRC and F1-C messages sent to the </w:t>
      </w:r>
      <w:r w:rsidR="0053337C">
        <w:rPr>
          <w:szCs w:val="22"/>
        </w:rPr>
        <w:t xml:space="preserve">IAB MTs </w:t>
      </w:r>
      <w:r w:rsidR="004147AE">
        <w:rPr>
          <w:szCs w:val="22"/>
        </w:rPr>
        <w:t>over the MCG</w:t>
      </w:r>
      <w:r w:rsidR="0053337C">
        <w:rPr>
          <w:szCs w:val="22"/>
        </w:rPr>
        <w:t xml:space="preserve"> access via NR RRC container messages</w:t>
      </w:r>
      <w:r w:rsidR="00AE1282">
        <w:rPr>
          <w:szCs w:val="22"/>
        </w:rPr>
        <w:t xml:space="preserve">. This is </w:t>
      </w:r>
      <w:r w:rsidR="0053337C">
        <w:rPr>
          <w:szCs w:val="22"/>
        </w:rPr>
        <w:t>similar to how many of the NR cell or UE-specific information is exchanged in case of EN-DC</w:t>
      </w:r>
      <w:r w:rsidR="004147AE">
        <w:rPr>
          <w:szCs w:val="22"/>
        </w:rPr>
        <w:t xml:space="preserve"> (e.g. via inter-node RRC messages defined in 38.331)</w:t>
      </w:r>
      <w:r w:rsidR="0053337C">
        <w:rPr>
          <w:szCs w:val="22"/>
        </w:rPr>
        <w:t xml:space="preserve">. </w:t>
      </w:r>
      <w:r w:rsidR="00AE1282">
        <w:rPr>
          <w:szCs w:val="22"/>
        </w:rPr>
        <w:t>This also keeps the contents aligned between SA and NSA since the eNB does not need to comprehend the messages as they are NR RRC containers.</w:t>
      </w:r>
    </w:p>
    <w:p w14:paraId="5DACF49E" w14:textId="77777777" w:rsidR="006B2A0C" w:rsidRDefault="006B2A0C" w:rsidP="00485C14">
      <w:pPr>
        <w:spacing w:after="0"/>
        <w:jc w:val="both"/>
        <w:rPr>
          <w:b/>
          <w:szCs w:val="22"/>
        </w:rPr>
      </w:pPr>
    </w:p>
    <w:p w14:paraId="7684C330" w14:textId="6FDD15B1" w:rsidR="00AA7442" w:rsidRPr="00AE1282" w:rsidRDefault="006B2A0C" w:rsidP="00485C14">
      <w:pPr>
        <w:spacing w:after="0"/>
        <w:jc w:val="both"/>
        <w:rPr>
          <w:b/>
          <w:szCs w:val="22"/>
        </w:rPr>
      </w:pPr>
      <w:r w:rsidRPr="00AE1282">
        <w:rPr>
          <w:b/>
          <w:szCs w:val="22"/>
        </w:rPr>
        <w:t xml:space="preserve">Proposal 1: </w:t>
      </w:r>
      <w:r w:rsidR="006634C2" w:rsidRPr="00AE1282">
        <w:rPr>
          <w:b/>
          <w:szCs w:val="22"/>
        </w:rPr>
        <w:t xml:space="preserve">To support </w:t>
      </w:r>
      <w:r w:rsidR="00AE1282" w:rsidRPr="00AE1282">
        <w:rPr>
          <w:b/>
          <w:szCs w:val="22"/>
        </w:rPr>
        <w:t xml:space="preserve">MT/DU setup, </w:t>
      </w:r>
      <w:r w:rsidR="00AE1282">
        <w:rPr>
          <w:b/>
          <w:szCs w:val="22"/>
        </w:rPr>
        <w:t xml:space="preserve">the </w:t>
      </w:r>
      <w:r w:rsidR="00AE1282" w:rsidRPr="00AE1282">
        <w:rPr>
          <w:b/>
          <w:szCs w:val="22"/>
        </w:rPr>
        <w:t>corresponding RRC and F1-C messages can be sent to the IAB MTs over the MCG</w:t>
      </w:r>
      <w:r w:rsidR="00AE1282">
        <w:rPr>
          <w:b/>
          <w:szCs w:val="22"/>
        </w:rPr>
        <w:t xml:space="preserve"> via NR RRC containers exchanged between the eNB and Donor CU</w:t>
      </w:r>
      <w:r w:rsidR="00AE1282" w:rsidRPr="00AE1282">
        <w:rPr>
          <w:b/>
          <w:szCs w:val="22"/>
        </w:rPr>
        <w:t xml:space="preserve"> via RRC </w:t>
      </w:r>
      <w:r w:rsidR="00AE1282">
        <w:rPr>
          <w:b/>
          <w:szCs w:val="22"/>
        </w:rPr>
        <w:t>inter-node messages</w:t>
      </w:r>
      <w:r w:rsidR="00AE1282" w:rsidRPr="00AE1282">
        <w:rPr>
          <w:b/>
          <w:szCs w:val="22"/>
        </w:rPr>
        <w:t>.</w:t>
      </w:r>
    </w:p>
    <w:p w14:paraId="70C82586" w14:textId="6A5BE23B" w:rsidR="008D04DC" w:rsidRDefault="007C3145" w:rsidP="008D04DC">
      <w:pPr>
        <w:pStyle w:val="Heading1"/>
      </w:pPr>
      <w:r>
        <w:lastRenderedPageBreak/>
        <w:t>Conclusion</w:t>
      </w:r>
    </w:p>
    <w:p w14:paraId="3350F057" w14:textId="5BA700C5"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w:t>
      </w:r>
      <w:r w:rsidR="00576F0D">
        <w:rPr>
          <w:lang w:val="en-GB"/>
        </w:rPr>
        <w:t>necessary signalling for</w:t>
      </w:r>
      <w:r w:rsidR="00ED021E">
        <w:rPr>
          <w:lang w:val="en-GB"/>
        </w:rPr>
        <w:t xml:space="preserve"> </w:t>
      </w:r>
      <w:r w:rsidR="00576F0D">
        <w:rPr>
          <w:lang w:val="en-GB"/>
        </w:rPr>
        <w:t>the</w:t>
      </w:r>
      <w:r w:rsidR="00AE1282">
        <w:rPr>
          <w:lang w:val="en-GB"/>
        </w:rPr>
        <w:t xml:space="preserve"> MT/DU setup in case of NSA operation</w:t>
      </w:r>
      <w:r w:rsidR="00ED021E">
        <w:rPr>
          <w:lang w:val="en-GB"/>
        </w:rPr>
        <w:t>,</w:t>
      </w:r>
      <w:r w:rsidR="00576F0D">
        <w:rPr>
          <w:lang w:val="en-GB"/>
        </w:rPr>
        <w:t xml:space="preserve"> and</w:t>
      </w:r>
      <w:r w:rsidR="00ED021E">
        <w:rPr>
          <w:lang w:val="en-GB"/>
        </w:rPr>
        <w:t xml:space="preserve"> the following proposal </w:t>
      </w:r>
      <w:r w:rsidR="00AE1282">
        <w:rPr>
          <w:lang w:val="en-GB"/>
        </w:rPr>
        <w:t>is</w:t>
      </w:r>
      <w:r w:rsidR="009B7D4F">
        <w:rPr>
          <w:lang w:val="en-GB"/>
        </w:rPr>
        <w:t xml:space="preserve"> </w:t>
      </w:r>
      <w:r w:rsidR="00ED021E">
        <w:rPr>
          <w:lang w:val="en-GB"/>
        </w:rPr>
        <w:t>made:</w:t>
      </w:r>
    </w:p>
    <w:p w14:paraId="466C1F68" w14:textId="77777777" w:rsidR="00AE1282" w:rsidRPr="00AE1282" w:rsidRDefault="00AE1282" w:rsidP="00AE1282">
      <w:pPr>
        <w:spacing w:after="0"/>
        <w:jc w:val="both"/>
        <w:rPr>
          <w:b/>
          <w:szCs w:val="22"/>
        </w:rPr>
      </w:pPr>
      <w:r w:rsidRPr="00AE1282">
        <w:rPr>
          <w:b/>
          <w:szCs w:val="22"/>
        </w:rPr>
        <w:t xml:space="preserve">Proposal 1: To support MT/DU setup, </w:t>
      </w:r>
      <w:r>
        <w:rPr>
          <w:b/>
          <w:szCs w:val="22"/>
        </w:rPr>
        <w:t xml:space="preserve">the </w:t>
      </w:r>
      <w:r w:rsidRPr="00AE1282">
        <w:rPr>
          <w:b/>
          <w:szCs w:val="22"/>
        </w:rPr>
        <w:t>corresponding RRC and F1-C messages can be sent to the IAB MTs over the MCG</w:t>
      </w:r>
      <w:r>
        <w:rPr>
          <w:b/>
          <w:szCs w:val="22"/>
        </w:rPr>
        <w:t xml:space="preserve"> via NR RRC containers exchanged between the eNB and Donor CU</w:t>
      </w:r>
      <w:r w:rsidRPr="00AE1282">
        <w:rPr>
          <w:b/>
          <w:szCs w:val="22"/>
        </w:rPr>
        <w:t xml:space="preserve"> via RRC </w:t>
      </w:r>
      <w:r>
        <w:rPr>
          <w:b/>
          <w:szCs w:val="22"/>
        </w:rPr>
        <w:t>inter-node messages</w:t>
      </w:r>
      <w:r w:rsidRPr="00AE1282">
        <w:rPr>
          <w:b/>
          <w:szCs w:val="22"/>
        </w:rPr>
        <w:t>.</w:t>
      </w:r>
    </w:p>
    <w:p w14:paraId="0B76CEA3" w14:textId="77777777" w:rsidR="00ED021E" w:rsidRDefault="00ED021E" w:rsidP="00ED021E"/>
    <w:p w14:paraId="3C099C76" w14:textId="7DA372BD" w:rsidR="00AF2C72" w:rsidRPr="006B13A0" w:rsidRDefault="00AF2C72" w:rsidP="006B13A0">
      <w:pPr>
        <w:pStyle w:val="Heading1"/>
      </w:pPr>
      <w:r>
        <w:t>Reference</w:t>
      </w:r>
    </w:p>
    <w:p w14:paraId="2126413A" w14:textId="5CCA371A" w:rsidR="00B71D00" w:rsidRDefault="0064521D"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2182245D" w14:textId="4E0328C8" w:rsidR="00ED021E" w:rsidRDefault="00B71D00" w:rsidP="00805FBE">
      <w:pPr>
        <w:pStyle w:val="2222"/>
        <w:numPr>
          <w:ilvl w:val="0"/>
          <w:numId w:val="2"/>
        </w:numPr>
        <w:spacing w:after="120" w:line="288" w:lineRule="auto"/>
        <w:ind w:left="360" w:firstLineChars="0"/>
        <w:jc w:val="left"/>
        <w:rPr>
          <w:rFonts w:cs="Times New Roman"/>
          <w:lang w:eastAsia="ko-KR"/>
        </w:rPr>
      </w:pPr>
      <w:r w:rsidRPr="00B71D00">
        <w:rPr>
          <w:rFonts w:cs="Times New Roman"/>
          <w:lang w:eastAsia="ko-KR"/>
        </w:rPr>
        <w:t xml:space="preserve">TR 38.874 </w:t>
      </w:r>
      <w:r w:rsidR="00ED021E">
        <w:rPr>
          <w:rFonts w:cs="Times New Roman"/>
          <w:lang w:eastAsia="ko-KR"/>
        </w:rPr>
        <w:t>v</w:t>
      </w:r>
      <w:r w:rsidR="0026790C">
        <w:rPr>
          <w:rFonts w:cs="Times New Roman"/>
          <w:lang w:eastAsia="ko-KR"/>
        </w:rPr>
        <w:t>16.0.0</w:t>
      </w:r>
      <w:r w:rsidRPr="00B71D00">
        <w:rPr>
          <w:rFonts w:cs="Times New Roman"/>
          <w:lang w:eastAsia="ko-KR"/>
        </w:rPr>
        <w:t>, Study on Integrated Access and Backhaul for NR.</w:t>
      </w:r>
    </w:p>
    <w:sectPr w:rsidR="00ED021E"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03A4F" w14:textId="77777777" w:rsidR="001E0E84" w:rsidRDefault="001E0E84" w:rsidP="00A03DF3">
      <w:pPr>
        <w:spacing w:after="0"/>
      </w:pPr>
      <w:r>
        <w:separator/>
      </w:r>
    </w:p>
  </w:endnote>
  <w:endnote w:type="continuationSeparator" w:id="0">
    <w:p w14:paraId="6999F28F" w14:textId="77777777" w:rsidR="001E0E84" w:rsidRDefault="001E0E8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540C69" w:rsidRDefault="00540C6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540C69" w:rsidRDefault="00540C6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540C69" w:rsidRDefault="00540C6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FDFCA" w14:textId="77777777" w:rsidR="001E0E84" w:rsidRDefault="001E0E84" w:rsidP="00A03DF3">
      <w:pPr>
        <w:spacing w:after="0"/>
      </w:pPr>
      <w:r>
        <w:separator/>
      </w:r>
    </w:p>
  </w:footnote>
  <w:footnote w:type="continuationSeparator" w:id="0">
    <w:p w14:paraId="519AE5EA" w14:textId="77777777" w:rsidR="001E0E84" w:rsidRDefault="001E0E84"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540C69" w:rsidRDefault="00540C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82D"/>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3942"/>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E84"/>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664"/>
    <w:rsid w:val="00225AA6"/>
    <w:rsid w:val="0023027D"/>
    <w:rsid w:val="002329AE"/>
    <w:rsid w:val="002343BE"/>
    <w:rsid w:val="00235DBF"/>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6790C"/>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44FB"/>
    <w:rsid w:val="003F664D"/>
    <w:rsid w:val="003F6824"/>
    <w:rsid w:val="003F68FF"/>
    <w:rsid w:val="00401CA4"/>
    <w:rsid w:val="00402754"/>
    <w:rsid w:val="00404B2F"/>
    <w:rsid w:val="00404E7A"/>
    <w:rsid w:val="00411B51"/>
    <w:rsid w:val="004147AE"/>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337C"/>
    <w:rsid w:val="00534474"/>
    <w:rsid w:val="00540C69"/>
    <w:rsid w:val="00542900"/>
    <w:rsid w:val="00546C64"/>
    <w:rsid w:val="00550E5F"/>
    <w:rsid w:val="0055311C"/>
    <w:rsid w:val="0055425E"/>
    <w:rsid w:val="00554916"/>
    <w:rsid w:val="00554A6F"/>
    <w:rsid w:val="00556937"/>
    <w:rsid w:val="00557E3C"/>
    <w:rsid w:val="00560B0A"/>
    <w:rsid w:val="00566D2E"/>
    <w:rsid w:val="005672AD"/>
    <w:rsid w:val="0056776F"/>
    <w:rsid w:val="00572547"/>
    <w:rsid w:val="005745E3"/>
    <w:rsid w:val="00574896"/>
    <w:rsid w:val="00576219"/>
    <w:rsid w:val="00576F0D"/>
    <w:rsid w:val="00577765"/>
    <w:rsid w:val="00580735"/>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634C2"/>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A7776"/>
    <w:rsid w:val="006B13A0"/>
    <w:rsid w:val="006B2A0C"/>
    <w:rsid w:val="006D06BF"/>
    <w:rsid w:val="006D4F51"/>
    <w:rsid w:val="006D71C6"/>
    <w:rsid w:val="006E3655"/>
    <w:rsid w:val="006E3876"/>
    <w:rsid w:val="006E5D2D"/>
    <w:rsid w:val="006F1AB8"/>
    <w:rsid w:val="006F1DB7"/>
    <w:rsid w:val="006F67B2"/>
    <w:rsid w:val="00700F24"/>
    <w:rsid w:val="00701722"/>
    <w:rsid w:val="00701AC6"/>
    <w:rsid w:val="00701D4D"/>
    <w:rsid w:val="007038C7"/>
    <w:rsid w:val="0070773D"/>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3929"/>
    <w:rsid w:val="007D4364"/>
    <w:rsid w:val="007D4EF8"/>
    <w:rsid w:val="007E1361"/>
    <w:rsid w:val="007E3019"/>
    <w:rsid w:val="007E31D6"/>
    <w:rsid w:val="007E403A"/>
    <w:rsid w:val="007E466A"/>
    <w:rsid w:val="007E5AFA"/>
    <w:rsid w:val="007E67DA"/>
    <w:rsid w:val="007F0002"/>
    <w:rsid w:val="007F08CC"/>
    <w:rsid w:val="007F1518"/>
    <w:rsid w:val="007F188C"/>
    <w:rsid w:val="007F3823"/>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2FF0"/>
    <w:rsid w:val="00846200"/>
    <w:rsid w:val="00847215"/>
    <w:rsid w:val="0085091F"/>
    <w:rsid w:val="00853B77"/>
    <w:rsid w:val="0086141D"/>
    <w:rsid w:val="008640DB"/>
    <w:rsid w:val="008645B9"/>
    <w:rsid w:val="00872C91"/>
    <w:rsid w:val="00875E94"/>
    <w:rsid w:val="0088025E"/>
    <w:rsid w:val="0088342F"/>
    <w:rsid w:val="00884757"/>
    <w:rsid w:val="008866D5"/>
    <w:rsid w:val="00886C69"/>
    <w:rsid w:val="00896357"/>
    <w:rsid w:val="00896663"/>
    <w:rsid w:val="00896ED9"/>
    <w:rsid w:val="008A0593"/>
    <w:rsid w:val="008A1B5D"/>
    <w:rsid w:val="008A5CC4"/>
    <w:rsid w:val="008A7C64"/>
    <w:rsid w:val="008B01CA"/>
    <w:rsid w:val="008B0502"/>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4C66"/>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73C95"/>
    <w:rsid w:val="00975D57"/>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B7D4F"/>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967D5"/>
    <w:rsid w:val="00AA02EB"/>
    <w:rsid w:val="00AA3049"/>
    <w:rsid w:val="00AA5ED1"/>
    <w:rsid w:val="00AA7442"/>
    <w:rsid w:val="00AA7889"/>
    <w:rsid w:val="00AA7B2F"/>
    <w:rsid w:val="00AB0172"/>
    <w:rsid w:val="00AB2709"/>
    <w:rsid w:val="00AB397A"/>
    <w:rsid w:val="00AB595D"/>
    <w:rsid w:val="00AC5E09"/>
    <w:rsid w:val="00AC7E9D"/>
    <w:rsid w:val="00AD46D6"/>
    <w:rsid w:val="00AD476B"/>
    <w:rsid w:val="00AE1282"/>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061B"/>
    <w:rsid w:val="00B92C1A"/>
    <w:rsid w:val="00B9328C"/>
    <w:rsid w:val="00B940DF"/>
    <w:rsid w:val="00B973D0"/>
    <w:rsid w:val="00BA3724"/>
    <w:rsid w:val="00BA6439"/>
    <w:rsid w:val="00BB7132"/>
    <w:rsid w:val="00BC18A7"/>
    <w:rsid w:val="00BC2552"/>
    <w:rsid w:val="00BC622B"/>
    <w:rsid w:val="00BC6517"/>
    <w:rsid w:val="00BC66E7"/>
    <w:rsid w:val="00BC703B"/>
    <w:rsid w:val="00BC7F02"/>
    <w:rsid w:val="00BD2690"/>
    <w:rsid w:val="00BD2E31"/>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47828"/>
    <w:rsid w:val="00C50D06"/>
    <w:rsid w:val="00C50F1D"/>
    <w:rsid w:val="00C528CF"/>
    <w:rsid w:val="00C532A5"/>
    <w:rsid w:val="00C53D8F"/>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6F9A"/>
    <w:rsid w:val="00CA3E7B"/>
    <w:rsid w:val="00CA6F59"/>
    <w:rsid w:val="00CA7AD5"/>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48E4"/>
    <w:rsid w:val="00D156FD"/>
    <w:rsid w:val="00D20A01"/>
    <w:rsid w:val="00D21707"/>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69AF"/>
    <w:rsid w:val="00EE6EFD"/>
    <w:rsid w:val="00EE70BB"/>
    <w:rsid w:val="00EF1A68"/>
    <w:rsid w:val="00EF3B5D"/>
    <w:rsid w:val="00EF403E"/>
    <w:rsid w:val="00EF4AB2"/>
    <w:rsid w:val="00EF6701"/>
    <w:rsid w:val="00EF7AFD"/>
    <w:rsid w:val="00F0075E"/>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95FE0"/>
    <w:rsid w:val="00FA0325"/>
    <w:rsid w:val="00FA380C"/>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8E512-DC5D-4052-8AB2-39F9F95FC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9</cp:revision>
  <dcterms:created xsi:type="dcterms:W3CDTF">2019-05-02T20:23:00Z</dcterms:created>
  <dcterms:modified xsi:type="dcterms:W3CDTF">2019-05-03T01:20:00Z</dcterms:modified>
</cp:coreProperties>
</file>